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2026 28 vom 21. April 2026</w:t>
      </w:r>
    </w:p>
    <w:p>
      <w:r>
        <w:t>FR Kantonsgericht, 2026-04-21, FR</w:t>
      </w:r>
    </w:p>
    <w:p>
      <w:r>
        <w:rPr>
          <w:b/>
        </w:rPr>
        <w:t xml:space="preserve">Quelle: </w:t>
      </w:r>
      <w:r>
        <w:t>https://mcp.opencaselaw.ch/entscheid/fr_gerichte_603 2026 28</w:t>
      </w:r>
    </w:p>
    <w:p>
      <w:r>
        <w:t>FR: FR_GERICHTE 603 2026 28 du 21 avril 2026</w:t>
      </w:r>
    </w:p>
    <w:p>
      <w:r>
        <w:t>IT: FR_GERICHTE 603 2026 28 del 21 aprile 2026</w:t>
      </w:r>
    </w:p>
    <w:p>
      <w:pPr>
        <w:pStyle w:val="Heading2"/>
      </w:pPr>
      <w:r>
        <w:t>Erwägungen</w:t>
      </w:r>
    </w:p>
    <w:p>
      <w:r>
        <w:rPr>
          <w:b/>
        </w:rPr>
        <w:t>E. 6</w:t>
      </w:r>
    </w:p>
    <w:p>
      <w:r>
        <w:t>Les frais de la procédure, arrêtés à CHF 800.- conformément aux art. 1 et 2 du tarif fribourgeois du 17 décembre 1991 des frais de procédure et des indemnités en matière de juridiction administrative (Tarif JA; RSF 150.12), sont mis à la charge du recourant qui succombe (art. 131 CPJA). Ils sont compensés par l'avance de frais de même montant versée le 9 mars 2026 2026. Pour la même raison, il n’est pas alloué d’indemnité de partie (art. 137 a contrario CPJA). (dispositif en page suivante)</w:t>
      </w:r>
    </w:p>
    <w:p>
      <w:r>
        <w:t>Tribunal cantonal TC Page 8 de 8 la Cour arrête : I. Le recours (603 2026 28) est rejeté. II. La requête de mesures provisionnelles (603 2026 29), sans objet, est rayée du rôle. III. Des frais de procédure, arrêtés à CHF 800.-, sont mis à la charge du recourant. Ils sont compensés par l'avance de frais de même montant déjà versée.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21 avril 2026/dbe/mme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